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10071"/>
        <w:gridCol w:w="4501"/>
      </w:tblGrid>
      <w:tr w:rsidR="0069188A" w:rsidRPr="00EA6EFB" w:rsidTr="00D2297E">
        <w:trPr>
          <w:trHeight w:hRule="exact" w:val="284"/>
        </w:trPr>
        <w:tc>
          <w:tcPr>
            <w:tcW w:w="14572" w:type="dxa"/>
            <w:gridSpan w:val="2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69188A" w:rsidRPr="00EA6EFB" w:rsidRDefault="00A947D4" w:rsidP="00D2297E">
            <w:pPr>
              <w:tabs>
                <w:tab w:val="right" w:pos="14356"/>
              </w:tabs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 xml:space="preserve">P.02 </w:t>
            </w:r>
            <w:r w:rsidR="00280349">
              <w:rPr>
                <w:b/>
                <w:color w:val="FFFFFF" w:themeColor="background1"/>
                <w:sz w:val="18"/>
                <w:szCs w:val="18"/>
              </w:rPr>
              <w:t>PROJECTLEIDER II</w:t>
            </w:r>
            <w:r w:rsidR="0069188A" w:rsidRPr="00EA6EFB">
              <w:rPr>
                <w:b/>
                <w:color w:val="FFFFFF" w:themeColor="background1"/>
                <w:sz w:val="18"/>
                <w:szCs w:val="18"/>
              </w:rPr>
              <w:tab/>
            </w:r>
            <w:r w:rsidR="0069188A" w:rsidRPr="00EA6EFB">
              <w:rPr>
                <w:color w:val="FFFFFF" w:themeColor="background1"/>
                <w:sz w:val="18"/>
                <w:szCs w:val="18"/>
              </w:rPr>
              <w:t xml:space="preserve">Functiefamilie: </w:t>
            </w:r>
            <w:r w:rsidR="00280349">
              <w:rPr>
                <w:color w:val="FFFFFF" w:themeColor="background1"/>
                <w:sz w:val="18"/>
                <w:szCs w:val="18"/>
              </w:rPr>
              <w:t>projecten</w:t>
            </w:r>
          </w:p>
        </w:tc>
      </w:tr>
      <w:tr w:rsidR="008A4466" w:rsidRPr="00EA6EFB" w:rsidTr="005849E3">
        <w:trPr>
          <w:trHeight w:val="932"/>
        </w:trPr>
        <w:tc>
          <w:tcPr>
            <w:tcW w:w="1457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A4466" w:rsidRPr="00EA6EFB" w:rsidRDefault="008A4466" w:rsidP="00747AF9">
            <w:pPr>
              <w:spacing w:line="240" w:lineRule="auto"/>
              <w:rPr>
                <w:b/>
                <w:color w:val="F18213"/>
                <w:sz w:val="18"/>
                <w:szCs w:val="18"/>
                <w:lang w:bidi="x-none"/>
              </w:rPr>
            </w:pPr>
            <w:r w:rsidRPr="00EA6EFB">
              <w:rPr>
                <w:b/>
                <w:color w:val="F18213"/>
                <w:sz w:val="18"/>
                <w:szCs w:val="18"/>
              </w:rPr>
              <w:t>Context</w:t>
            </w:r>
          </w:p>
          <w:p w:rsidR="00747AF9" w:rsidRPr="00D06CB4" w:rsidRDefault="00747AF9" w:rsidP="00747AF9">
            <w:pPr>
              <w:spacing w:line="240" w:lineRule="auto"/>
              <w:rPr>
                <w:rFonts w:cs="Arial"/>
                <w:color w:val="000000" w:themeColor="text1"/>
                <w:sz w:val="18"/>
                <w:szCs w:val="18"/>
              </w:rPr>
            </w:pPr>
            <w:r w:rsidRPr="00E4718C">
              <w:rPr>
                <w:rFonts w:cs="Arial"/>
                <w:sz w:val="18"/>
                <w:szCs w:val="18"/>
              </w:rPr>
              <w:t xml:space="preserve">De functie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is </w:t>
            </w:r>
            <w:r>
              <w:rPr>
                <w:rFonts w:cs="Arial"/>
                <w:sz w:val="18"/>
                <w:szCs w:val="18"/>
              </w:rPr>
              <w:t>gepositioneerd</w:t>
            </w:r>
            <w:r w:rsidRPr="00D06CB4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E4718C">
              <w:rPr>
                <w:rFonts w:cs="Arial"/>
                <w:sz w:val="18"/>
                <w:szCs w:val="18"/>
              </w:rPr>
              <w:t>binnen een sportbond</w:t>
            </w:r>
            <w:r>
              <w:rPr>
                <w:rFonts w:cs="Arial"/>
                <w:sz w:val="18"/>
                <w:szCs w:val="18"/>
              </w:rPr>
              <w:t xml:space="preserve"> die zich inzet</w:t>
            </w:r>
            <w:r w:rsidRPr="00E4718C">
              <w:rPr>
                <w:rFonts w:cs="Arial"/>
                <w:sz w:val="18"/>
                <w:szCs w:val="18"/>
              </w:rPr>
              <w:t xml:space="preserve"> </w:t>
            </w:r>
            <w:r w:rsidRPr="00D06CB4">
              <w:rPr>
                <w:rFonts w:cs="Arial"/>
                <w:color w:val="000000" w:themeColor="text1"/>
                <w:sz w:val="18"/>
                <w:szCs w:val="18"/>
              </w:rPr>
              <w:t xml:space="preserve">voor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(plm. 500) </w:t>
            </w:r>
            <w:r w:rsidRPr="00D06CB4">
              <w:rPr>
                <w:rFonts w:cs="Arial"/>
                <w:color w:val="000000" w:themeColor="text1"/>
                <w:sz w:val="18"/>
                <w:szCs w:val="18"/>
              </w:rPr>
              <w:t xml:space="preserve">aangesloten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verenigingen </w:t>
            </w:r>
            <w:r w:rsidRPr="00D06CB4">
              <w:rPr>
                <w:rFonts w:cs="Arial"/>
                <w:color w:val="000000" w:themeColor="text1"/>
                <w:sz w:val="18"/>
                <w:szCs w:val="18"/>
              </w:rPr>
              <w:t xml:space="preserve">en (top)sporters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(plm. 150.000) </w:t>
            </w:r>
            <w:r w:rsidRPr="00D06CB4">
              <w:rPr>
                <w:rFonts w:cs="Arial"/>
                <w:color w:val="000000" w:themeColor="text1"/>
                <w:sz w:val="18"/>
                <w:szCs w:val="18"/>
              </w:rPr>
              <w:t>op het gebied van accommodatie, opleiding, promotie v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an de sport en</w:t>
            </w:r>
            <w:r w:rsidRPr="00D06CB4">
              <w:rPr>
                <w:rFonts w:cs="Arial"/>
                <w:color w:val="000000" w:themeColor="text1"/>
                <w:sz w:val="18"/>
                <w:szCs w:val="18"/>
              </w:rPr>
              <w:t xml:space="preserve"> sportontwikkeling (breedtesport)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. Daarnaast </w:t>
            </w:r>
            <w:r w:rsidRPr="00D06CB4">
              <w:rPr>
                <w:rFonts w:cs="Arial"/>
                <w:color w:val="000000" w:themeColor="text1"/>
                <w:sz w:val="18"/>
                <w:szCs w:val="18"/>
              </w:rPr>
              <w:t xml:space="preserve">behartigt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ze </w:t>
            </w:r>
            <w:r w:rsidRPr="00D06CB4">
              <w:rPr>
                <w:rFonts w:cs="Arial"/>
                <w:color w:val="000000" w:themeColor="text1"/>
                <w:sz w:val="18"/>
                <w:szCs w:val="18"/>
              </w:rPr>
              <w:t xml:space="preserve">de belangen van de topsport ten behoeve van uitzendingen naar EK’s, WK’s en Olympische spelen.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Er zijn in totaal ongeveer 75 medewerkers werkzaam bij de bond. Daarnaast zijn veel </w:t>
            </w:r>
            <w:r w:rsidRPr="00D06CB4">
              <w:rPr>
                <w:rFonts w:cs="Arial"/>
                <w:color w:val="000000" w:themeColor="text1"/>
                <w:sz w:val="18"/>
                <w:szCs w:val="18"/>
              </w:rPr>
              <w:t>vrijwilligers actief in commissies en werkgroepen.</w:t>
            </w:r>
          </w:p>
          <w:p w:rsidR="0005480F" w:rsidRPr="00EA6EFB" w:rsidRDefault="0005480F" w:rsidP="00747AF9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05480F">
              <w:rPr>
                <w:color w:val="auto"/>
                <w:sz w:val="18"/>
                <w:szCs w:val="18"/>
              </w:rPr>
              <w:t xml:space="preserve">Binnen projecten wordt het onderscheid gemaakt tussen externe en interne projecten. Externe projecten betreffen projecten die niet sec/specifiek voor leden zijn. Interne projecten betreffen projecten van en voor leden. Internationale projecten worden door de manager </w:t>
            </w:r>
            <w:r>
              <w:rPr>
                <w:color w:val="auto"/>
                <w:sz w:val="18"/>
                <w:szCs w:val="18"/>
              </w:rPr>
              <w:t xml:space="preserve">beleid &amp; </w:t>
            </w:r>
            <w:r w:rsidRPr="0005480F">
              <w:rPr>
                <w:color w:val="auto"/>
                <w:sz w:val="18"/>
                <w:szCs w:val="18"/>
              </w:rPr>
              <w:t xml:space="preserve">projecten geleid. Projecten zijn primair niet beleidsvormend (focus ontwikkeling) maar gericht op het realiseren van vooraf overeengekomen doelen (focus realisatie). De projectleider </w:t>
            </w:r>
            <w:r w:rsidR="00EF12C8">
              <w:rPr>
                <w:color w:val="auto"/>
                <w:sz w:val="18"/>
                <w:szCs w:val="18"/>
              </w:rPr>
              <w:t xml:space="preserve">II </w:t>
            </w:r>
            <w:r w:rsidRPr="0005480F">
              <w:rPr>
                <w:color w:val="auto"/>
                <w:sz w:val="18"/>
                <w:szCs w:val="18"/>
              </w:rPr>
              <w:t>kan worden ingezet op interne en externe projecten.</w:t>
            </w:r>
          </w:p>
        </w:tc>
      </w:tr>
      <w:tr w:rsidR="00BA56DD" w:rsidRPr="00EA6EFB" w:rsidTr="001603C7">
        <w:trPr>
          <w:trHeight w:val="426"/>
        </w:trPr>
        <w:tc>
          <w:tcPr>
            <w:tcW w:w="1457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BA56DD" w:rsidRPr="00EA6EFB" w:rsidRDefault="008A4466" w:rsidP="00A51BFC">
            <w:pPr>
              <w:spacing w:line="240" w:lineRule="auto"/>
              <w:rPr>
                <w:b/>
                <w:color w:val="F18213"/>
                <w:sz w:val="18"/>
                <w:szCs w:val="18"/>
              </w:rPr>
            </w:pPr>
            <w:r w:rsidRPr="00EA6EFB">
              <w:rPr>
                <w:b/>
                <w:color w:val="F18213"/>
                <w:sz w:val="18"/>
                <w:szCs w:val="18"/>
              </w:rPr>
              <w:t>Doel</w:t>
            </w:r>
          </w:p>
          <w:p w:rsidR="007E18CB" w:rsidRPr="00EA6EFB" w:rsidRDefault="003F6334" w:rsidP="00A51BFC">
            <w:pPr>
              <w:spacing w:line="240" w:lineRule="auto"/>
              <w:rPr>
                <w:sz w:val="18"/>
                <w:szCs w:val="18"/>
              </w:rPr>
            </w:pPr>
            <w:r w:rsidRPr="00EA6EFB">
              <w:rPr>
                <w:color w:val="000000" w:themeColor="text1"/>
                <w:sz w:val="18"/>
                <w:szCs w:val="18"/>
              </w:rPr>
              <w:t xml:space="preserve">Een </w:t>
            </w:r>
            <w:r w:rsidR="0005480F">
              <w:rPr>
                <w:color w:val="000000" w:themeColor="text1"/>
                <w:sz w:val="18"/>
                <w:szCs w:val="18"/>
              </w:rPr>
              <w:t xml:space="preserve">tijdige realisatie van het project </w:t>
            </w:r>
            <w:r w:rsidR="005849E3">
              <w:rPr>
                <w:color w:val="000000" w:themeColor="text1"/>
                <w:sz w:val="18"/>
                <w:szCs w:val="18"/>
              </w:rPr>
              <w:t>conform</w:t>
            </w:r>
            <w:r w:rsidR="0005480F">
              <w:rPr>
                <w:color w:val="000000" w:themeColor="text1"/>
                <w:sz w:val="18"/>
                <w:szCs w:val="18"/>
              </w:rPr>
              <w:t xml:space="preserve"> de financiële en inhoudelijke doelstellingen. </w:t>
            </w:r>
          </w:p>
        </w:tc>
      </w:tr>
      <w:tr w:rsidR="00952F07" w:rsidRPr="00EA6EFB" w:rsidTr="001603C7">
        <w:trPr>
          <w:trHeight w:val="608"/>
        </w:trPr>
        <w:tc>
          <w:tcPr>
            <w:tcW w:w="1457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952F07" w:rsidRPr="00EA6EFB" w:rsidRDefault="00952F07" w:rsidP="00A51BFC">
            <w:pPr>
              <w:spacing w:line="240" w:lineRule="auto"/>
              <w:rPr>
                <w:b/>
                <w:color w:val="F18213"/>
                <w:sz w:val="18"/>
                <w:szCs w:val="18"/>
              </w:rPr>
            </w:pPr>
            <w:r w:rsidRPr="00EA6EFB">
              <w:rPr>
                <w:b/>
                <w:color w:val="F18213"/>
                <w:sz w:val="18"/>
                <w:szCs w:val="18"/>
              </w:rPr>
              <w:t>Rapportagestructuur</w:t>
            </w:r>
          </w:p>
          <w:p w:rsidR="00952F07" w:rsidRPr="00EA6EFB" w:rsidRDefault="00495514" w:rsidP="00A51BFC">
            <w:pPr>
              <w:tabs>
                <w:tab w:val="left" w:pos="2127"/>
              </w:tabs>
              <w:spacing w:line="240" w:lineRule="auto"/>
              <w:ind w:left="2410" w:hanging="2410"/>
              <w:rPr>
                <w:color w:val="000000" w:themeColor="text1"/>
                <w:sz w:val="18"/>
                <w:szCs w:val="18"/>
                <w:lang w:bidi="x-none"/>
              </w:rPr>
            </w:pPr>
            <w:r w:rsidRPr="00EA6EFB">
              <w:rPr>
                <w:color w:val="000000" w:themeColor="text1"/>
                <w:sz w:val="18"/>
                <w:szCs w:val="18"/>
                <w:lang w:bidi="x-none"/>
              </w:rPr>
              <w:t>Direct leidinggevende</w:t>
            </w:r>
            <w:r w:rsidR="00D47F61" w:rsidRPr="00EA6EFB">
              <w:rPr>
                <w:color w:val="000000" w:themeColor="text1"/>
                <w:sz w:val="18"/>
                <w:szCs w:val="18"/>
                <w:lang w:bidi="x-none"/>
              </w:rPr>
              <w:t>:</w:t>
            </w:r>
            <w:r w:rsidR="00D47F61" w:rsidRPr="00EA6EFB">
              <w:rPr>
                <w:color w:val="000000" w:themeColor="text1"/>
                <w:sz w:val="18"/>
                <w:szCs w:val="18"/>
                <w:lang w:bidi="x-none"/>
              </w:rPr>
              <w:tab/>
            </w:r>
            <w:r w:rsidR="00AE5CD8">
              <w:rPr>
                <w:color w:val="000000" w:themeColor="text1"/>
                <w:sz w:val="18"/>
                <w:szCs w:val="18"/>
                <w:lang w:bidi="x-none"/>
              </w:rPr>
              <w:t>manager</w:t>
            </w:r>
            <w:r w:rsidR="0005480F">
              <w:rPr>
                <w:color w:val="000000" w:themeColor="text1"/>
                <w:sz w:val="18"/>
                <w:szCs w:val="18"/>
                <w:lang w:bidi="x-none"/>
              </w:rPr>
              <w:t xml:space="preserve"> beleid en projecten</w:t>
            </w:r>
          </w:p>
          <w:p w:rsidR="00D47F61" w:rsidRPr="00EA6EFB" w:rsidRDefault="00D47F61" w:rsidP="00A51BFC">
            <w:pPr>
              <w:tabs>
                <w:tab w:val="left" w:pos="2127"/>
              </w:tabs>
              <w:spacing w:line="240" w:lineRule="auto"/>
              <w:ind w:left="2410" w:hanging="2410"/>
              <w:rPr>
                <w:color w:val="B80526"/>
                <w:sz w:val="18"/>
                <w:szCs w:val="18"/>
                <w:lang w:bidi="x-none"/>
              </w:rPr>
            </w:pPr>
            <w:r w:rsidRPr="00EA6EFB">
              <w:rPr>
                <w:color w:val="000000" w:themeColor="text1"/>
                <w:sz w:val="18"/>
                <w:szCs w:val="18"/>
                <w:lang w:bidi="x-none"/>
              </w:rPr>
              <w:t>Geeft leiding aan:</w:t>
            </w:r>
            <w:r w:rsidRPr="00EA6EFB">
              <w:rPr>
                <w:color w:val="000000" w:themeColor="text1"/>
                <w:sz w:val="18"/>
                <w:szCs w:val="18"/>
                <w:lang w:bidi="x-none"/>
              </w:rPr>
              <w:tab/>
            </w:r>
            <w:r w:rsidR="00364D30">
              <w:rPr>
                <w:color w:val="000000" w:themeColor="text1"/>
                <w:sz w:val="18"/>
                <w:szCs w:val="18"/>
                <w:lang w:bidi="x-none"/>
              </w:rPr>
              <w:t>G</w:t>
            </w:r>
            <w:r w:rsidR="00177BA4">
              <w:rPr>
                <w:color w:val="000000" w:themeColor="text1"/>
                <w:sz w:val="18"/>
                <w:szCs w:val="18"/>
                <w:lang w:bidi="x-none"/>
              </w:rPr>
              <w:t>eeft functioneel leiding aan projectmedewerkers.</w:t>
            </w:r>
          </w:p>
        </w:tc>
      </w:tr>
      <w:tr w:rsidR="00860F94" w:rsidRPr="00EA6EFB" w:rsidTr="001603C7">
        <w:trPr>
          <w:trHeight w:hRule="exact" w:val="284"/>
        </w:trPr>
        <w:tc>
          <w:tcPr>
            <w:tcW w:w="10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:rsidR="00051C43" w:rsidRPr="001133FD" w:rsidRDefault="00051C43" w:rsidP="00A16B2F">
            <w:pPr>
              <w:spacing w:line="240" w:lineRule="auto"/>
              <w:ind w:left="113" w:hanging="113"/>
              <w:rPr>
                <w:b/>
                <w:color w:val="F18213"/>
                <w:sz w:val="18"/>
                <w:szCs w:val="18"/>
                <w:lang w:bidi="x-none"/>
              </w:rPr>
            </w:pPr>
            <w:r w:rsidRPr="001133FD">
              <w:rPr>
                <w:b/>
                <w:color w:val="F18213"/>
                <w:sz w:val="18"/>
                <w:szCs w:val="18"/>
                <w:lang w:bidi="x-none"/>
              </w:rPr>
              <w:t>Resultaat</w:t>
            </w:r>
            <w:r w:rsidR="00346AD4" w:rsidRPr="001133FD">
              <w:rPr>
                <w:b/>
                <w:color w:val="F18213"/>
                <w:sz w:val="18"/>
                <w:szCs w:val="18"/>
                <w:lang w:bidi="x-none"/>
              </w:rPr>
              <w:t>/bijdrage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:rsidR="00051C43" w:rsidRPr="001133FD" w:rsidRDefault="00346AD4" w:rsidP="00A16B2F">
            <w:pPr>
              <w:spacing w:line="240" w:lineRule="auto"/>
              <w:ind w:left="113" w:hanging="113"/>
              <w:rPr>
                <w:color w:val="F18213"/>
                <w:sz w:val="18"/>
                <w:szCs w:val="18"/>
                <w:lang w:bidi="x-none"/>
              </w:rPr>
            </w:pPr>
            <w:r w:rsidRPr="001133FD">
              <w:rPr>
                <w:b/>
                <w:color w:val="F18213"/>
                <w:sz w:val="18"/>
                <w:szCs w:val="18"/>
                <w:lang w:bidi="x-none"/>
              </w:rPr>
              <w:t>Resultaatindicatoren</w:t>
            </w:r>
          </w:p>
        </w:tc>
      </w:tr>
      <w:tr w:rsidR="00AE5CD8" w:rsidRPr="00EA6EFB" w:rsidTr="00526BC2">
        <w:trPr>
          <w:trHeight w:val="500"/>
        </w:trPr>
        <w:tc>
          <w:tcPr>
            <w:tcW w:w="1007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E5CD8" w:rsidRPr="00AE5CD8" w:rsidRDefault="00AE5CD8" w:rsidP="00526BC2">
            <w:pPr>
              <w:pStyle w:val="Lijstalinea"/>
              <w:numPr>
                <w:ilvl w:val="0"/>
                <w:numId w:val="7"/>
              </w:numPr>
              <w:spacing w:line="240" w:lineRule="auto"/>
              <w:ind w:left="284" w:hanging="284"/>
              <w:rPr>
                <w:b/>
                <w:color w:val="000000" w:themeColor="text1"/>
                <w:sz w:val="18"/>
                <w:szCs w:val="18"/>
              </w:rPr>
            </w:pPr>
            <w:r w:rsidRPr="00AE5CD8">
              <w:rPr>
                <w:b/>
                <w:color w:val="000000" w:themeColor="text1"/>
                <w:sz w:val="18"/>
                <w:szCs w:val="18"/>
              </w:rPr>
              <w:t>Projectvoorbereiding</w:t>
            </w:r>
          </w:p>
          <w:p w:rsidR="00AE5CD8" w:rsidRPr="00AE5CD8" w:rsidRDefault="00BD4EAB" w:rsidP="00526BC2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ab/>
            </w:r>
            <w:r w:rsidR="005D0179">
              <w:rPr>
                <w:color w:val="000000" w:themeColor="text1"/>
                <w:sz w:val="18"/>
                <w:szCs w:val="18"/>
              </w:rPr>
              <w:t xml:space="preserve">Op basis van projectbegroting zijn aanvullende middelen aangewend en is de opdracht </w:t>
            </w:r>
            <w:r w:rsidR="00AE5CD8" w:rsidRPr="00AE5CD8">
              <w:rPr>
                <w:color w:val="000000" w:themeColor="text1"/>
                <w:sz w:val="18"/>
                <w:szCs w:val="18"/>
              </w:rPr>
              <w:t>vertaald naar een operationeel projectplan, zodat voor alle partijen (intern en extern) eenduidig vast staat wat</w:t>
            </w:r>
            <w:r w:rsidR="005849E3">
              <w:rPr>
                <w:color w:val="000000" w:themeColor="text1"/>
                <w:sz w:val="18"/>
                <w:szCs w:val="18"/>
              </w:rPr>
              <w:t>,</w:t>
            </w:r>
            <w:r w:rsidR="00AE5CD8" w:rsidRPr="00AE5CD8">
              <w:rPr>
                <w:color w:val="000000" w:themeColor="text1"/>
                <w:sz w:val="18"/>
                <w:szCs w:val="18"/>
              </w:rPr>
              <w:t xml:space="preserve"> wanneer</w:t>
            </w:r>
            <w:r w:rsidR="005849E3">
              <w:rPr>
                <w:color w:val="000000" w:themeColor="text1"/>
                <w:sz w:val="18"/>
                <w:szCs w:val="18"/>
              </w:rPr>
              <w:t>,</w:t>
            </w:r>
            <w:r w:rsidR="00AE5CD8" w:rsidRPr="00AE5CD8">
              <w:rPr>
                <w:color w:val="000000" w:themeColor="text1"/>
                <w:sz w:val="18"/>
                <w:szCs w:val="18"/>
              </w:rPr>
              <w:t xml:space="preserve"> hoe </w:t>
            </w:r>
            <w:r w:rsidR="005849E3">
              <w:rPr>
                <w:color w:val="000000" w:themeColor="text1"/>
                <w:sz w:val="18"/>
                <w:szCs w:val="18"/>
              </w:rPr>
              <w:t xml:space="preserve">en </w:t>
            </w:r>
            <w:r w:rsidR="00AE5CD8" w:rsidRPr="00AE5CD8">
              <w:rPr>
                <w:color w:val="000000" w:themeColor="text1"/>
                <w:sz w:val="18"/>
                <w:szCs w:val="18"/>
              </w:rPr>
              <w:t>door wie gedaan moet worden en welke randvoorwaarden gelden.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E5CD8" w:rsidRDefault="00AE5CD8" w:rsidP="005849E3">
            <w:pPr>
              <w:tabs>
                <w:tab w:val="left" w:pos="11624"/>
                <w:tab w:val="left" w:pos="13041"/>
              </w:tabs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AE5CD8">
              <w:rPr>
                <w:color w:val="auto"/>
                <w:sz w:val="18"/>
                <w:szCs w:val="18"/>
              </w:rPr>
              <w:t>-</w:t>
            </w:r>
            <w:r w:rsidRPr="00AE5CD8">
              <w:rPr>
                <w:color w:val="auto"/>
                <w:sz w:val="18"/>
                <w:szCs w:val="18"/>
              </w:rPr>
              <w:tab/>
              <w:t>kwaliteit inbreng kick-off;</w:t>
            </w:r>
          </w:p>
          <w:p w:rsidR="005D0179" w:rsidRPr="00AE5CD8" w:rsidRDefault="005D0179" w:rsidP="005849E3">
            <w:pPr>
              <w:tabs>
                <w:tab w:val="left" w:pos="11624"/>
                <w:tab w:val="left" w:pos="13041"/>
              </w:tabs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  <w:t>dekking begroting;</w:t>
            </w:r>
          </w:p>
          <w:p w:rsidR="00AE5CD8" w:rsidRPr="00AE5CD8" w:rsidRDefault="00AE5CD8" w:rsidP="005849E3">
            <w:pPr>
              <w:tabs>
                <w:tab w:val="left" w:pos="11624"/>
                <w:tab w:val="left" w:pos="13041"/>
              </w:tabs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AE5CD8">
              <w:rPr>
                <w:color w:val="auto"/>
                <w:sz w:val="18"/>
                <w:szCs w:val="18"/>
              </w:rPr>
              <w:t>-</w:t>
            </w:r>
            <w:r w:rsidRPr="00AE5CD8">
              <w:rPr>
                <w:color w:val="auto"/>
                <w:sz w:val="18"/>
                <w:szCs w:val="18"/>
              </w:rPr>
              <w:tab/>
              <w:t>kwalitatief en kwantitatief juiste projectmedewerkers;</w:t>
            </w:r>
          </w:p>
          <w:p w:rsidR="00AE5CD8" w:rsidRPr="00AE5CD8" w:rsidRDefault="00AE5CD8" w:rsidP="005849E3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AE5CD8">
              <w:rPr>
                <w:color w:val="auto"/>
                <w:sz w:val="18"/>
                <w:szCs w:val="18"/>
              </w:rPr>
              <w:t>-</w:t>
            </w:r>
            <w:r w:rsidRPr="00AE5CD8">
              <w:rPr>
                <w:color w:val="auto"/>
                <w:sz w:val="18"/>
                <w:szCs w:val="18"/>
              </w:rPr>
              <w:tab/>
              <w:t>actualiteit, juistheid en diepgang planningen.</w:t>
            </w:r>
          </w:p>
        </w:tc>
      </w:tr>
      <w:tr w:rsidR="00AE5CD8" w:rsidRPr="00EA6EFB" w:rsidTr="00526BC2">
        <w:trPr>
          <w:trHeight w:val="538"/>
        </w:trPr>
        <w:tc>
          <w:tcPr>
            <w:tcW w:w="1007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E5CD8" w:rsidRPr="00AE5CD8" w:rsidRDefault="00AE5CD8" w:rsidP="00526BC2">
            <w:pPr>
              <w:pStyle w:val="Lijstalinea"/>
              <w:numPr>
                <w:ilvl w:val="0"/>
                <w:numId w:val="7"/>
              </w:numPr>
              <w:spacing w:line="240" w:lineRule="auto"/>
              <w:ind w:left="284" w:hanging="284"/>
              <w:rPr>
                <w:b/>
                <w:color w:val="000000" w:themeColor="text1"/>
                <w:sz w:val="18"/>
                <w:szCs w:val="18"/>
              </w:rPr>
            </w:pPr>
            <w:r w:rsidRPr="00AE5CD8">
              <w:rPr>
                <w:b/>
                <w:color w:val="000000" w:themeColor="text1"/>
                <w:sz w:val="18"/>
                <w:szCs w:val="18"/>
              </w:rPr>
              <w:t>Projectrealisatie</w:t>
            </w:r>
          </w:p>
          <w:p w:rsidR="00AE5CD8" w:rsidRPr="00AE5CD8" w:rsidRDefault="00AE5CD8" w:rsidP="00526BC2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AE5CD8">
              <w:rPr>
                <w:color w:val="000000" w:themeColor="text1"/>
                <w:sz w:val="18"/>
                <w:szCs w:val="18"/>
              </w:rPr>
              <w:tab/>
              <w:t xml:space="preserve">Projecten zijn </w:t>
            </w:r>
            <w:r w:rsidR="005D0179">
              <w:rPr>
                <w:color w:val="000000" w:themeColor="text1"/>
                <w:sz w:val="18"/>
                <w:szCs w:val="18"/>
              </w:rPr>
              <w:t xml:space="preserve">geleid, bijgestuurd en </w:t>
            </w:r>
            <w:r w:rsidRPr="00AE5CD8">
              <w:rPr>
                <w:color w:val="000000" w:themeColor="text1"/>
                <w:sz w:val="18"/>
                <w:szCs w:val="18"/>
              </w:rPr>
              <w:t>opgeleverd conform de met de opdrachtgever overeengekomen kwaliteiten en tijdvensters en de vastgestelde begroting en kostenopbouw.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E5CD8" w:rsidRPr="00AE5CD8" w:rsidRDefault="00AE5CD8" w:rsidP="005849E3">
            <w:pPr>
              <w:tabs>
                <w:tab w:val="left" w:pos="11624"/>
                <w:tab w:val="left" w:pos="13041"/>
              </w:tabs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AE5CD8">
              <w:rPr>
                <w:color w:val="auto"/>
                <w:sz w:val="18"/>
                <w:szCs w:val="18"/>
              </w:rPr>
              <w:t>-</w:t>
            </w:r>
            <w:r w:rsidRPr="00AE5CD8">
              <w:rPr>
                <w:color w:val="auto"/>
                <w:sz w:val="18"/>
                <w:szCs w:val="18"/>
              </w:rPr>
              <w:tab/>
              <w:t>financieel projectresultaat;</w:t>
            </w:r>
          </w:p>
          <w:p w:rsidR="00AE5CD8" w:rsidRPr="00AE5CD8" w:rsidRDefault="00AE5CD8" w:rsidP="005849E3">
            <w:pPr>
              <w:tabs>
                <w:tab w:val="left" w:pos="11624"/>
                <w:tab w:val="left" w:pos="13041"/>
              </w:tabs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AE5CD8">
              <w:rPr>
                <w:color w:val="auto"/>
                <w:sz w:val="18"/>
                <w:szCs w:val="18"/>
              </w:rPr>
              <w:t>-</w:t>
            </w:r>
            <w:r w:rsidRPr="00AE5CD8">
              <w:rPr>
                <w:color w:val="auto"/>
                <w:sz w:val="18"/>
                <w:szCs w:val="18"/>
              </w:rPr>
              <w:tab/>
              <w:t>realisatiegraad project-mile</w:t>
            </w:r>
            <w:r w:rsidR="005849E3">
              <w:rPr>
                <w:color w:val="auto"/>
                <w:sz w:val="18"/>
                <w:szCs w:val="18"/>
              </w:rPr>
              <w:t>-</w:t>
            </w:r>
            <w:r w:rsidRPr="00AE5CD8">
              <w:rPr>
                <w:color w:val="auto"/>
                <w:sz w:val="18"/>
                <w:szCs w:val="18"/>
              </w:rPr>
              <w:t>stones;</w:t>
            </w:r>
          </w:p>
          <w:p w:rsidR="00AE5CD8" w:rsidRPr="00AE5CD8" w:rsidRDefault="00AE5CD8" w:rsidP="005849E3">
            <w:pPr>
              <w:tabs>
                <w:tab w:val="left" w:pos="11624"/>
                <w:tab w:val="left" w:pos="13041"/>
              </w:tabs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AE5CD8">
              <w:rPr>
                <w:color w:val="auto"/>
                <w:sz w:val="18"/>
                <w:szCs w:val="18"/>
              </w:rPr>
              <w:t>-</w:t>
            </w:r>
            <w:r w:rsidRPr="00AE5CD8">
              <w:rPr>
                <w:color w:val="auto"/>
                <w:sz w:val="18"/>
                <w:szCs w:val="18"/>
              </w:rPr>
              <w:tab/>
              <w:t xml:space="preserve">conform </w:t>
            </w:r>
            <w:r w:rsidR="005D0179">
              <w:rPr>
                <w:color w:val="auto"/>
                <w:sz w:val="18"/>
                <w:szCs w:val="18"/>
              </w:rPr>
              <w:t>interne</w:t>
            </w:r>
            <w:r w:rsidRPr="00AE5CD8">
              <w:rPr>
                <w:color w:val="auto"/>
                <w:sz w:val="18"/>
                <w:szCs w:val="18"/>
              </w:rPr>
              <w:t xml:space="preserve"> kaders en werkwijze;</w:t>
            </w:r>
          </w:p>
          <w:p w:rsidR="00AE5CD8" w:rsidRPr="00AE5CD8" w:rsidRDefault="00AE5CD8" w:rsidP="005849E3">
            <w:pPr>
              <w:spacing w:line="240" w:lineRule="auto"/>
              <w:ind w:left="284" w:hanging="284"/>
              <w:rPr>
                <w:color w:val="FF0000"/>
                <w:sz w:val="18"/>
                <w:szCs w:val="18"/>
              </w:rPr>
            </w:pPr>
            <w:r w:rsidRPr="00AE5CD8">
              <w:rPr>
                <w:color w:val="auto"/>
                <w:sz w:val="18"/>
                <w:szCs w:val="18"/>
              </w:rPr>
              <w:t>-</w:t>
            </w:r>
            <w:r w:rsidRPr="00AE5CD8">
              <w:rPr>
                <w:color w:val="auto"/>
                <w:sz w:val="18"/>
                <w:szCs w:val="18"/>
              </w:rPr>
              <w:tab/>
              <w:t>tevredenheid projectdeelnemers en doelgroep projecten.</w:t>
            </w:r>
          </w:p>
        </w:tc>
      </w:tr>
      <w:tr w:rsidR="00AE5CD8" w:rsidRPr="00EA6EFB" w:rsidTr="00526BC2">
        <w:trPr>
          <w:trHeight w:val="575"/>
        </w:trPr>
        <w:tc>
          <w:tcPr>
            <w:tcW w:w="1007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E5CD8" w:rsidRPr="00AE5CD8" w:rsidRDefault="00AE5CD8" w:rsidP="00526BC2">
            <w:pPr>
              <w:pStyle w:val="Lijstalinea"/>
              <w:numPr>
                <w:ilvl w:val="0"/>
                <w:numId w:val="7"/>
              </w:numPr>
              <w:spacing w:line="240" w:lineRule="auto"/>
              <w:ind w:left="284" w:hanging="284"/>
              <w:rPr>
                <w:b/>
                <w:color w:val="000000" w:themeColor="text1"/>
                <w:sz w:val="18"/>
                <w:szCs w:val="18"/>
              </w:rPr>
            </w:pPr>
            <w:r w:rsidRPr="00AE5CD8">
              <w:rPr>
                <w:b/>
                <w:color w:val="000000" w:themeColor="text1"/>
                <w:sz w:val="18"/>
                <w:szCs w:val="18"/>
              </w:rPr>
              <w:t>Projectrapportage en vastlegging</w:t>
            </w:r>
          </w:p>
          <w:p w:rsidR="00AE5CD8" w:rsidRPr="00AE5CD8" w:rsidRDefault="00BD4EAB" w:rsidP="00526BC2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ab/>
            </w:r>
            <w:r w:rsidR="005D0179">
              <w:rPr>
                <w:color w:val="000000" w:themeColor="text1"/>
                <w:sz w:val="18"/>
                <w:szCs w:val="18"/>
              </w:rPr>
              <w:t>Er is c</w:t>
            </w:r>
            <w:r w:rsidR="00AE5CD8" w:rsidRPr="00AE5CD8">
              <w:rPr>
                <w:color w:val="000000" w:themeColor="text1"/>
                <w:sz w:val="18"/>
                <w:szCs w:val="18"/>
              </w:rPr>
              <w:t>ontinu inzicht in de (financiële) voortgang en de opdrachtgeverperceptie over de voortgang en kwaliteit van het project bij belanghebbenden, zodat tijdig bijgestuurd kan worden.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E5CD8" w:rsidRPr="00AE5CD8" w:rsidRDefault="00AE5CD8" w:rsidP="005849E3">
            <w:pPr>
              <w:tabs>
                <w:tab w:val="left" w:pos="11624"/>
                <w:tab w:val="left" w:pos="13041"/>
              </w:tabs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AE5CD8">
              <w:rPr>
                <w:color w:val="auto"/>
                <w:sz w:val="18"/>
                <w:szCs w:val="18"/>
              </w:rPr>
              <w:t>-</w:t>
            </w:r>
            <w:r w:rsidRPr="00AE5CD8">
              <w:rPr>
                <w:color w:val="auto"/>
                <w:sz w:val="18"/>
                <w:szCs w:val="18"/>
              </w:rPr>
              <w:tab/>
              <w:t>volledigheid projectdossier/documentatie;</w:t>
            </w:r>
          </w:p>
          <w:p w:rsidR="00AE5CD8" w:rsidRPr="00AE5CD8" w:rsidRDefault="00AE5CD8" w:rsidP="005849E3">
            <w:pPr>
              <w:tabs>
                <w:tab w:val="left" w:pos="11624"/>
                <w:tab w:val="left" w:pos="13041"/>
              </w:tabs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AE5CD8">
              <w:rPr>
                <w:color w:val="auto"/>
                <w:sz w:val="18"/>
                <w:szCs w:val="18"/>
              </w:rPr>
              <w:t>-</w:t>
            </w:r>
            <w:r w:rsidRPr="00AE5CD8">
              <w:rPr>
                <w:color w:val="auto"/>
                <w:sz w:val="18"/>
                <w:szCs w:val="18"/>
              </w:rPr>
              <w:tab/>
              <w:t>tijdigheid en kwaliteit voortgangsrapportages (tevredenheid opdrachtgever en interne organisatie);</w:t>
            </w:r>
          </w:p>
          <w:p w:rsidR="00AE5CD8" w:rsidRPr="00AE5CD8" w:rsidRDefault="00AE5CD8" w:rsidP="005849E3">
            <w:pPr>
              <w:spacing w:line="240" w:lineRule="auto"/>
              <w:ind w:left="284" w:hanging="284"/>
              <w:rPr>
                <w:color w:val="FF0000"/>
                <w:sz w:val="18"/>
                <w:szCs w:val="18"/>
              </w:rPr>
            </w:pPr>
            <w:r w:rsidRPr="00AE5CD8">
              <w:rPr>
                <w:color w:val="auto"/>
                <w:sz w:val="18"/>
                <w:szCs w:val="18"/>
              </w:rPr>
              <w:t>-</w:t>
            </w:r>
            <w:r w:rsidRPr="00AE5CD8">
              <w:rPr>
                <w:color w:val="auto"/>
                <w:sz w:val="18"/>
                <w:szCs w:val="18"/>
              </w:rPr>
              <w:tab/>
              <w:t>kwaliteit projectevaluaties.</w:t>
            </w:r>
          </w:p>
        </w:tc>
      </w:tr>
      <w:tr w:rsidR="00AE5CD8" w:rsidRPr="00EA6EFB" w:rsidTr="00526BC2">
        <w:trPr>
          <w:trHeight w:val="575"/>
        </w:trPr>
        <w:tc>
          <w:tcPr>
            <w:tcW w:w="1007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E5CD8" w:rsidRPr="00AE5CD8" w:rsidRDefault="00AE5CD8" w:rsidP="00526BC2">
            <w:pPr>
              <w:pStyle w:val="Lijstalinea"/>
              <w:numPr>
                <w:ilvl w:val="0"/>
                <w:numId w:val="7"/>
              </w:numPr>
              <w:spacing w:line="240" w:lineRule="auto"/>
              <w:ind w:left="284" w:hanging="284"/>
              <w:rPr>
                <w:b/>
                <w:color w:val="000000" w:themeColor="text1"/>
                <w:sz w:val="18"/>
                <w:szCs w:val="18"/>
              </w:rPr>
            </w:pPr>
            <w:r w:rsidRPr="00AE5CD8">
              <w:rPr>
                <w:b/>
                <w:color w:val="000000" w:themeColor="text1"/>
                <w:sz w:val="18"/>
                <w:szCs w:val="18"/>
              </w:rPr>
              <w:t>Financiële projectafwikkeling</w:t>
            </w:r>
          </w:p>
          <w:p w:rsidR="00AE5CD8" w:rsidRPr="00AE5CD8" w:rsidRDefault="00AE5CD8" w:rsidP="00526BC2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AE5CD8">
              <w:rPr>
                <w:color w:val="000000" w:themeColor="text1"/>
                <w:sz w:val="18"/>
                <w:szCs w:val="18"/>
              </w:rPr>
              <w:tab/>
              <w:t>Betalingen zijn in lijn met de door de projectorganisatie geleverde inspanningen, projectresultaten en contractuele termijnafspraken.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E5CD8" w:rsidRPr="00AE5CD8" w:rsidRDefault="00AE5CD8" w:rsidP="005849E3">
            <w:pPr>
              <w:tabs>
                <w:tab w:val="left" w:pos="11624"/>
                <w:tab w:val="left" w:pos="13041"/>
              </w:tabs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AE5CD8">
              <w:rPr>
                <w:color w:val="auto"/>
                <w:sz w:val="18"/>
                <w:szCs w:val="18"/>
              </w:rPr>
              <w:t>-</w:t>
            </w:r>
            <w:r w:rsidRPr="00AE5CD8">
              <w:rPr>
                <w:color w:val="auto"/>
                <w:sz w:val="18"/>
                <w:szCs w:val="18"/>
              </w:rPr>
              <w:tab/>
            </w:r>
            <w:r w:rsidR="005D0179">
              <w:rPr>
                <w:color w:val="auto"/>
                <w:sz w:val="18"/>
                <w:szCs w:val="18"/>
              </w:rPr>
              <w:t>sluitend financieel projectresultaat</w:t>
            </w:r>
            <w:r w:rsidRPr="00AE5CD8">
              <w:rPr>
                <w:color w:val="auto"/>
                <w:sz w:val="18"/>
                <w:szCs w:val="18"/>
              </w:rPr>
              <w:t xml:space="preserve"> (omvang nog te declareren kosten/uren) en autorisatie projecturen;</w:t>
            </w:r>
          </w:p>
          <w:p w:rsidR="00AE5CD8" w:rsidRPr="00AE5CD8" w:rsidDel="00B619E6" w:rsidRDefault="00AE5CD8" w:rsidP="005849E3">
            <w:pPr>
              <w:spacing w:line="240" w:lineRule="auto"/>
              <w:ind w:left="284" w:hanging="284"/>
              <w:rPr>
                <w:color w:val="FF0000"/>
                <w:sz w:val="18"/>
                <w:szCs w:val="18"/>
              </w:rPr>
            </w:pPr>
            <w:r w:rsidRPr="00AE5CD8">
              <w:rPr>
                <w:color w:val="auto"/>
                <w:sz w:val="18"/>
                <w:szCs w:val="18"/>
              </w:rPr>
              <w:t>-</w:t>
            </w:r>
            <w:r w:rsidRPr="00AE5CD8">
              <w:rPr>
                <w:color w:val="auto"/>
                <w:sz w:val="18"/>
                <w:szCs w:val="18"/>
              </w:rPr>
              <w:tab/>
              <w:t>aantal/omvang openstaande niet geautoriseerde projecturen.</w:t>
            </w:r>
          </w:p>
        </w:tc>
      </w:tr>
      <w:tr w:rsidR="003A231F" w:rsidRPr="00EA6EFB" w:rsidTr="001603C7">
        <w:trPr>
          <w:trHeight w:val="301"/>
        </w:trPr>
        <w:tc>
          <w:tcPr>
            <w:tcW w:w="1457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3A231F" w:rsidRPr="00EA6EFB" w:rsidRDefault="003A231F" w:rsidP="003A231F">
            <w:pPr>
              <w:spacing w:line="240" w:lineRule="auto"/>
              <w:ind w:left="284" w:hanging="284"/>
              <w:rPr>
                <w:color w:val="F18213"/>
                <w:sz w:val="18"/>
                <w:szCs w:val="18"/>
              </w:rPr>
            </w:pPr>
            <w:r w:rsidRPr="00EA6EFB">
              <w:rPr>
                <w:b/>
                <w:color w:val="F18213"/>
                <w:sz w:val="18"/>
                <w:szCs w:val="18"/>
              </w:rPr>
              <w:t>Bezwarende werkomstandigheden</w:t>
            </w:r>
          </w:p>
          <w:p w:rsidR="003A231F" w:rsidRPr="00EA6EFB" w:rsidRDefault="003A231F" w:rsidP="003A231F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EA6EFB">
              <w:rPr>
                <w:color w:val="auto"/>
                <w:sz w:val="18"/>
                <w:szCs w:val="18"/>
              </w:rPr>
              <w:t>-</w:t>
            </w:r>
            <w:r w:rsidRPr="00EA6EFB">
              <w:rPr>
                <w:color w:val="auto"/>
                <w:sz w:val="18"/>
                <w:szCs w:val="18"/>
              </w:rPr>
              <w:tab/>
            </w:r>
            <w:r w:rsidR="00AE5CD8">
              <w:rPr>
                <w:color w:val="auto"/>
                <w:sz w:val="18"/>
                <w:szCs w:val="18"/>
              </w:rPr>
              <w:t>Geen bijzondere.</w:t>
            </w:r>
          </w:p>
        </w:tc>
      </w:tr>
    </w:tbl>
    <w:p w:rsidR="00CA42AF" w:rsidRPr="00EA6EFB" w:rsidRDefault="00EA6EFB" w:rsidP="00EA6EFB">
      <w:pPr>
        <w:tabs>
          <w:tab w:val="right" w:pos="14570"/>
        </w:tabs>
        <w:spacing w:line="240" w:lineRule="auto"/>
        <w:rPr>
          <w:color w:val="auto"/>
          <w:sz w:val="14"/>
          <w:szCs w:val="14"/>
        </w:rPr>
      </w:pPr>
      <w:bookmarkStart w:id="0" w:name="_GoBack"/>
      <w:bookmarkEnd w:id="0"/>
      <w:r>
        <w:rPr>
          <w:i/>
          <w:color w:val="auto"/>
          <w:sz w:val="16"/>
        </w:rPr>
        <w:tab/>
      </w:r>
    </w:p>
    <w:sectPr w:rsidR="00CA42AF" w:rsidRPr="00EA6EFB" w:rsidSect="009D0165">
      <w:headerReference w:type="default" r:id="rId7"/>
      <w:footerReference w:type="default" r:id="rId8"/>
      <w:pgSz w:w="16838" w:h="11899" w:orient="landscape"/>
      <w:pgMar w:top="1134" w:right="1134" w:bottom="1134" w:left="1134" w:header="1134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995" w:rsidRDefault="00D26995" w:rsidP="001073D2">
      <w:pPr>
        <w:spacing w:line="240" w:lineRule="auto"/>
      </w:pPr>
      <w:r>
        <w:separator/>
      </w:r>
    </w:p>
  </w:endnote>
  <w:endnote w:type="continuationSeparator" w:id="0">
    <w:p w:rsidR="00D26995" w:rsidRDefault="00D26995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75D" w:rsidRPr="00FF5B7D" w:rsidRDefault="000C1D4D" w:rsidP="000C1D4D">
    <w:pPr>
      <w:pStyle w:val="Voettekst"/>
      <w:tabs>
        <w:tab w:val="clear" w:pos="4153"/>
        <w:tab w:val="clear" w:pos="8306"/>
        <w:tab w:val="right" w:pos="15026"/>
      </w:tabs>
      <w:spacing w:line="240" w:lineRule="atLeast"/>
      <w:ind w:right="-518"/>
      <w:jc w:val="left"/>
      <w:rPr>
        <w:b/>
        <w:color w:val="auto"/>
        <w:sz w:val="16"/>
      </w:rPr>
    </w:pPr>
    <w:r>
      <w:rPr>
        <w:color w:val="auto"/>
        <w:sz w:val="16"/>
      </w:rPr>
      <w:t>Opgesteld door EVZ organisatie-advies</w:t>
    </w:r>
    <w:r w:rsidR="00182624">
      <w:rPr>
        <w:color w:val="auto"/>
        <w:sz w:val="16"/>
      </w:rPr>
      <w:t xml:space="preserve"> </w:t>
    </w:r>
    <w:r w:rsidR="00CE1D21">
      <w:rPr>
        <w:color w:val="auto"/>
        <w:sz w:val="16"/>
      </w:rPr>
      <w:t xml:space="preserve">| </w:t>
    </w:r>
    <w:r w:rsidR="004C19BA">
      <w:rPr>
        <w:color w:val="auto"/>
        <w:sz w:val="16"/>
      </w:rPr>
      <w:t>1510</w:t>
    </w:r>
    <w:r w:rsidR="00182624">
      <w:rPr>
        <w:color w:val="auto"/>
        <w:sz w:val="16"/>
      </w:rPr>
      <w:t>18</w:t>
    </w:r>
    <w:r w:rsidR="00CA42AF">
      <w:rPr>
        <w:noProof/>
        <w:color w:val="auto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995" w:rsidRDefault="00D26995" w:rsidP="001073D2">
      <w:pPr>
        <w:spacing w:line="240" w:lineRule="auto"/>
      </w:pPr>
      <w:r>
        <w:separator/>
      </w:r>
    </w:p>
  </w:footnote>
  <w:footnote w:type="continuationSeparator" w:id="0">
    <w:p w:rsidR="00D26995" w:rsidRDefault="00D26995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F94" w:rsidRPr="001C6E47" w:rsidRDefault="009D0165" w:rsidP="00EA3029">
    <w:pPr>
      <w:pStyle w:val="Koptekst"/>
      <w:tabs>
        <w:tab w:val="clear" w:pos="4153"/>
        <w:tab w:val="clear" w:pos="8306"/>
        <w:tab w:val="left" w:pos="851"/>
        <w:tab w:val="center" w:pos="5245"/>
        <w:tab w:val="right" w:pos="9639"/>
      </w:tabs>
      <w:ind w:left="1134" w:right="-292" w:hanging="1134"/>
      <w:jc w:val="left"/>
      <w:rPr>
        <w:color w:val="auto"/>
        <w:sz w:val="16"/>
        <w:szCs w:val="16"/>
        <w:lang w:eastAsia="nl-NL"/>
      </w:rPr>
    </w:pPr>
    <w:r>
      <w:rPr>
        <w:noProof/>
        <w:lang w:eastAsia="nl-NL"/>
      </w:rPr>
      <w:t>FUNCTIE-OMSCHRIJVING</w:t>
    </w:r>
    <w:r w:rsidR="00EA3029">
      <w:rPr>
        <w:noProof/>
        <w:lang w:eastAsia="nl-NL"/>
      </w:rPr>
      <w:tab/>
    </w:r>
    <w:r w:rsidR="00EA3029">
      <w:rPr>
        <w:noProof/>
        <w:lang w:eastAsia="nl-N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B0E76"/>
    <w:multiLevelType w:val="hybridMultilevel"/>
    <w:tmpl w:val="723842A4"/>
    <w:lvl w:ilvl="0" w:tplc="9F4A4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22A74"/>
    <w:multiLevelType w:val="hybridMultilevel"/>
    <w:tmpl w:val="16C867C6"/>
    <w:lvl w:ilvl="0" w:tplc="6B2EEC9A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w w:val="0"/>
      </w:rPr>
    </w:lvl>
    <w:lvl w:ilvl="1" w:tplc="900CE584"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eastAsia="Times New Roman" w:hAnsi="Symbol" w:hint="default"/>
        <w:color w:val="auto"/>
        <w:w w:val="0"/>
      </w:rPr>
    </w:lvl>
    <w:lvl w:ilvl="2" w:tplc="4070EEF8">
      <w:start w:val="1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w w:val="0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820E9"/>
    <w:multiLevelType w:val="hybridMultilevel"/>
    <w:tmpl w:val="43CEAB5E"/>
    <w:lvl w:ilvl="0" w:tplc="3EE84854">
      <w:start w:val="10"/>
      <w:numFmt w:val="bullet"/>
      <w:lvlText w:val="-"/>
      <w:lvlJc w:val="left"/>
      <w:pPr>
        <w:tabs>
          <w:tab w:val="num" w:pos="284"/>
        </w:tabs>
        <w:ind w:left="170" w:hanging="170"/>
      </w:pPr>
      <w:rPr>
        <w:rFonts w:ascii="Times New Roman" w:eastAsia="Times New Roman" w:hAnsi="Times New Roman" w:hint="default"/>
        <w:w w:val="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01DDD"/>
    <w:multiLevelType w:val="hybridMultilevel"/>
    <w:tmpl w:val="DCA09B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51132C"/>
    <w:multiLevelType w:val="hybridMultilevel"/>
    <w:tmpl w:val="D3EA6504"/>
    <w:lvl w:ilvl="0" w:tplc="A866F3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B49BD"/>
    <w:multiLevelType w:val="hybridMultilevel"/>
    <w:tmpl w:val="1C6CC78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F67865"/>
    <w:multiLevelType w:val="hybridMultilevel"/>
    <w:tmpl w:val="1BFE32B8"/>
    <w:lvl w:ilvl="0" w:tplc="5AF6E2EC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B97"/>
    <w:rsid w:val="00013FFA"/>
    <w:rsid w:val="00022563"/>
    <w:rsid w:val="00031EA1"/>
    <w:rsid w:val="00040B6A"/>
    <w:rsid w:val="00051C43"/>
    <w:rsid w:val="00053F25"/>
    <w:rsid w:val="0005480F"/>
    <w:rsid w:val="0006753D"/>
    <w:rsid w:val="00075FF0"/>
    <w:rsid w:val="0008707B"/>
    <w:rsid w:val="000A4E2C"/>
    <w:rsid w:val="000C1D4D"/>
    <w:rsid w:val="00104B2A"/>
    <w:rsid w:val="00107BB5"/>
    <w:rsid w:val="001133FD"/>
    <w:rsid w:val="00121D7A"/>
    <w:rsid w:val="00132C5B"/>
    <w:rsid w:val="00140BCD"/>
    <w:rsid w:val="00146FF6"/>
    <w:rsid w:val="001603C7"/>
    <w:rsid w:val="00161FEA"/>
    <w:rsid w:val="00177BA4"/>
    <w:rsid w:val="00182624"/>
    <w:rsid w:val="0019223A"/>
    <w:rsid w:val="001D08A5"/>
    <w:rsid w:val="001D2817"/>
    <w:rsid w:val="001D5401"/>
    <w:rsid w:val="001F08A7"/>
    <w:rsid w:val="00200A74"/>
    <w:rsid w:val="00262F78"/>
    <w:rsid w:val="00270359"/>
    <w:rsid w:val="00276091"/>
    <w:rsid w:val="00280349"/>
    <w:rsid w:val="0028588A"/>
    <w:rsid w:val="00290ACF"/>
    <w:rsid w:val="002A6A1A"/>
    <w:rsid w:val="002C02C1"/>
    <w:rsid w:val="002C683A"/>
    <w:rsid w:val="002D200C"/>
    <w:rsid w:val="002E33B9"/>
    <w:rsid w:val="002E7FFB"/>
    <w:rsid w:val="002F2B92"/>
    <w:rsid w:val="00302BD4"/>
    <w:rsid w:val="00310C75"/>
    <w:rsid w:val="00314EFF"/>
    <w:rsid w:val="00325124"/>
    <w:rsid w:val="0033575D"/>
    <w:rsid w:val="003421EC"/>
    <w:rsid w:val="00346AD4"/>
    <w:rsid w:val="00362B10"/>
    <w:rsid w:val="00364D30"/>
    <w:rsid w:val="00384ED9"/>
    <w:rsid w:val="003865F8"/>
    <w:rsid w:val="003A231F"/>
    <w:rsid w:val="003A2926"/>
    <w:rsid w:val="003A6A37"/>
    <w:rsid w:val="003C5A22"/>
    <w:rsid w:val="003D7528"/>
    <w:rsid w:val="003F2780"/>
    <w:rsid w:val="003F6334"/>
    <w:rsid w:val="004019B8"/>
    <w:rsid w:val="00402C31"/>
    <w:rsid w:val="004046FC"/>
    <w:rsid w:val="00411199"/>
    <w:rsid w:val="00412AF7"/>
    <w:rsid w:val="00433421"/>
    <w:rsid w:val="004336DD"/>
    <w:rsid w:val="0043413A"/>
    <w:rsid w:val="00446423"/>
    <w:rsid w:val="00447F40"/>
    <w:rsid w:val="004555B8"/>
    <w:rsid w:val="00466101"/>
    <w:rsid w:val="004701E5"/>
    <w:rsid w:val="00471764"/>
    <w:rsid w:val="00480617"/>
    <w:rsid w:val="004840F6"/>
    <w:rsid w:val="00485B2C"/>
    <w:rsid w:val="00495514"/>
    <w:rsid w:val="004A26B5"/>
    <w:rsid w:val="004C19BA"/>
    <w:rsid w:val="004D15C9"/>
    <w:rsid w:val="004D4448"/>
    <w:rsid w:val="004F0259"/>
    <w:rsid w:val="00522558"/>
    <w:rsid w:val="00526BC2"/>
    <w:rsid w:val="00534425"/>
    <w:rsid w:val="005433E0"/>
    <w:rsid w:val="00561A5B"/>
    <w:rsid w:val="00566BE9"/>
    <w:rsid w:val="005711CD"/>
    <w:rsid w:val="005849E3"/>
    <w:rsid w:val="005A3CA4"/>
    <w:rsid w:val="005C0665"/>
    <w:rsid w:val="005D0179"/>
    <w:rsid w:val="005D06A7"/>
    <w:rsid w:val="005D4C90"/>
    <w:rsid w:val="005D5B9F"/>
    <w:rsid w:val="00626639"/>
    <w:rsid w:val="00631002"/>
    <w:rsid w:val="00634939"/>
    <w:rsid w:val="006461F9"/>
    <w:rsid w:val="00671AE0"/>
    <w:rsid w:val="00677180"/>
    <w:rsid w:val="0069188A"/>
    <w:rsid w:val="006A61FE"/>
    <w:rsid w:val="006A62C1"/>
    <w:rsid w:val="006A63DE"/>
    <w:rsid w:val="006F4BE7"/>
    <w:rsid w:val="007055A1"/>
    <w:rsid w:val="007119E8"/>
    <w:rsid w:val="00730CFB"/>
    <w:rsid w:val="00742901"/>
    <w:rsid w:val="00747AF9"/>
    <w:rsid w:val="00767896"/>
    <w:rsid w:val="00796661"/>
    <w:rsid w:val="007A39E5"/>
    <w:rsid w:val="007C6EB2"/>
    <w:rsid w:val="007E16FA"/>
    <w:rsid w:val="007E18CB"/>
    <w:rsid w:val="00832234"/>
    <w:rsid w:val="00834FD0"/>
    <w:rsid w:val="00860F94"/>
    <w:rsid w:val="00871734"/>
    <w:rsid w:val="00885810"/>
    <w:rsid w:val="0088745A"/>
    <w:rsid w:val="008922CA"/>
    <w:rsid w:val="008A4466"/>
    <w:rsid w:val="008B24C1"/>
    <w:rsid w:val="008E0FD2"/>
    <w:rsid w:val="008F31DA"/>
    <w:rsid w:val="008F4609"/>
    <w:rsid w:val="00917D61"/>
    <w:rsid w:val="009324D5"/>
    <w:rsid w:val="00935A3C"/>
    <w:rsid w:val="00947A05"/>
    <w:rsid w:val="00952F07"/>
    <w:rsid w:val="00954BBA"/>
    <w:rsid w:val="009561BF"/>
    <w:rsid w:val="00967A3B"/>
    <w:rsid w:val="009775D9"/>
    <w:rsid w:val="00982060"/>
    <w:rsid w:val="00993E3B"/>
    <w:rsid w:val="009A3AC2"/>
    <w:rsid w:val="009A7A9A"/>
    <w:rsid w:val="009C4CAC"/>
    <w:rsid w:val="009D0165"/>
    <w:rsid w:val="00A10A67"/>
    <w:rsid w:val="00A11CB3"/>
    <w:rsid w:val="00A16B2F"/>
    <w:rsid w:val="00A2570B"/>
    <w:rsid w:val="00A43B27"/>
    <w:rsid w:val="00A50D1E"/>
    <w:rsid w:val="00A51BFC"/>
    <w:rsid w:val="00A5704B"/>
    <w:rsid w:val="00A743ED"/>
    <w:rsid w:val="00A800D1"/>
    <w:rsid w:val="00A86568"/>
    <w:rsid w:val="00A947D4"/>
    <w:rsid w:val="00AA2317"/>
    <w:rsid w:val="00AB1C28"/>
    <w:rsid w:val="00AB37CE"/>
    <w:rsid w:val="00AB43E2"/>
    <w:rsid w:val="00AB49A5"/>
    <w:rsid w:val="00AB6EB9"/>
    <w:rsid w:val="00AC1B26"/>
    <w:rsid w:val="00AE215C"/>
    <w:rsid w:val="00AE5940"/>
    <w:rsid w:val="00AE5CD8"/>
    <w:rsid w:val="00AF01E2"/>
    <w:rsid w:val="00B12033"/>
    <w:rsid w:val="00B122E7"/>
    <w:rsid w:val="00B122ED"/>
    <w:rsid w:val="00B46A6B"/>
    <w:rsid w:val="00B55E09"/>
    <w:rsid w:val="00B87542"/>
    <w:rsid w:val="00BA56DD"/>
    <w:rsid w:val="00BA6A0F"/>
    <w:rsid w:val="00BB179D"/>
    <w:rsid w:val="00BB6CA9"/>
    <w:rsid w:val="00BD4EAB"/>
    <w:rsid w:val="00BE00B0"/>
    <w:rsid w:val="00BE0D31"/>
    <w:rsid w:val="00BE2B77"/>
    <w:rsid w:val="00BE4B9D"/>
    <w:rsid w:val="00BF7DF7"/>
    <w:rsid w:val="00C30CE9"/>
    <w:rsid w:val="00C3362A"/>
    <w:rsid w:val="00C65722"/>
    <w:rsid w:val="00C7335F"/>
    <w:rsid w:val="00C858A3"/>
    <w:rsid w:val="00CA42AF"/>
    <w:rsid w:val="00CD5605"/>
    <w:rsid w:val="00CE1D21"/>
    <w:rsid w:val="00CF5A4D"/>
    <w:rsid w:val="00D13821"/>
    <w:rsid w:val="00D20E02"/>
    <w:rsid w:val="00D21096"/>
    <w:rsid w:val="00D2297E"/>
    <w:rsid w:val="00D23048"/>
    <w:rsid w:val="00D26995"/>
    <w:rsid w:val="00D32D16"/>
    <w:rsid w:val="00D47925"/>
    <w:rsid w:val="00D47F61"/>
    <w:rsid w:val="00D92D37"/>
    <w:rsid w:val="00DA19B1"/>
    <w:rsid w:val="00DA4EDD"/>
    <w:rsid w:val="00DC7897"/>
    <w:rsid w:val="00DD390C"/>
    <w:rsid w:val="00DE4471"/>
    <w:rsid w:val="00DF6A29"/>
    <w:rsid w:val="00E2483A"/>
    <w:rsid w:val="00E25AD2"/>
    <w:rsid w:val="00E263E5"/>
    <w:rsid w:val="00E27B4B"/>
    <w:rsid w:val="00E521E9"/>
    <w:rsid w:val="00E526F7"/>
    <w:rsid w:val="00E6295D"/>
    <w:rsid w:val="00E62C18"/>
    <w:rsid w:val="00E62C80"/>
    <w:rsid w:val="00EA3029"/>
    <w:rsid w:val="00EA576C"/>
    <w:rsid w:val="00EA6EFB"/>
    <w:rsid w:val="00ED3481"/>
    <w:rsid w:val="00ED6B97"/>
    <w:rsid w:val="00EF12C8"/>
    <w:rsid w:val="00F0639D"/>
    <w:rsid w:val="00F077CF"/>
    <w:rsid w:val="00F14B08"/>
    <w:rsid w:val="00F26B4F"/>
    <w:rsid w:val="00F42091"/>
    <w:rsid w:val="00F50760"/>
    <w:rsid w:val="00F572C7"/>
    <w:rsid w:val="00F615E3"/>
    <w:rsid w:val="00F61A5B"/>
    <w:rsid w:val="00F7095C"/>
    <w:rsid w:val="00F75390"/>
    <w:rsid w:val="00FB185E"/>
    <w:rsid w:val="00FC7F1C"/>
    <w:rsid w:val="00FD1EA7"/>
    <w:rsid w:val="00FD3684"/>
    <w:rsid w:val="00FE51F1"/>
    <w:rsid w:val="00FF5B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efaultImageDpi w14:val="300"/>
  <w15:docId w15:val="{2FC0ECC6-0751-D34F-BB58-0FF7D8C3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ard">
    <w:name w:val="Normal"/>
    <w:qFormat/>
    <w:rsid w:val="00695FE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link w:val="VoettekstChar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063403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z-inspring">
    <w:name w:val="evz-inspring"/>
    <w:basedOn w:val="Standaard"/>
    <w:qFormat/>
    <w:rsid w:val="00376E11"/>
    <w:pPr>
      <w:spacing w:line="200" w:lineRule="atLeast"/>
      <w:ind w:left="284" w:hanging="284"/>
    </w:pPr>
    <w:rPr>
      <w:sz w:val="16"/>
    </w:rPr>
  </w:style>
  <w:style w:type="paragraph" w:styleId="Lijstalinea">
    <w:name w:val="List Paragraph"/>
    <w:basedOn w:val="Standaard"/>
    <w:rsid w:val="00480617"/>
    <w:pPr>
      <w:ind w:left="720"/>
      <w:contextualSpacing/>
    </w:pPr>
  </w:style>
  <w:style w:type="paragraph" w:styleId="Ballontekst">
    <w:name w:val="Balloon Text"/>
    <w:basedOn w:val="Standaard"/>
    <w:link w:val="BallontekstChar"/>
    <w:semiHidden/>
    <w:unhideWhenUsed/>
    <w:rsid w:val="0008707B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08707B"/>
    <w:rPr>
      <w:color w:val="333333"/>
      <w:sz w:val="18"/>
      <w:szCs w:val="18"/>
      <w:lang w:eastAsia="en-US"/>
    </w:rPr>
  </w:style>
  <w:style w:type="character" w:customStyle="1" w:styleId="VoettekstChar">
    <w:name w:val="Voettekst Char"/>
    <w:basedOn w:val="Standaardalinea-lettertype"/>
    <w:link w:val="Voettekst"/>
    <w:rsid w:val="000C1D4D"/>
    <w:rPr>
      <w:rFonts w:ascii="Arial" w:hAnsi="Arial"/>
      <w:color w:val="333333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AFWERKMAP/afwerkmap-SL/CAOSPORT/%20sjabloon%20CAOSPORT%20referentiefunctie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 sjabloon CAOSPORT referentiefunctie.dotx</Template>
  <TotalTime>1</TotalTime>
  <Pages>1</Pages>
  <Words>452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RESULTAATPROFIEL</vt:lpstr>
    </vt:vector>
  </TitlesOfParts>
  <Company>EVZ Organisatie-adviseurs</Company>
  <LinksUpToDate>false</LinksUpToDate>
  <CharactersWithSpaces>2934</CharactersWithSpaces>
  <SharedDoc>false</SharedDoc>
  <HLinks>
    <vt:vector size="6" baseType="variant">
      <vt:variant>
        <vt:i4>3997786</vt:i4>
      </vt:variant>
      <vt:variant>
        <vt:i4>-1</vt:i4>
      </vt:variant>
      <vt:variant>
        <vt:i4>2050</vt:i4>
      </vt:variant>
      <vt:variant>
        <vt:i4>1</vt:i4>
      </vt:variant>
      <vt:variant>
        <vt:lpwstr>EVZ-logo-FC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RESULTAATPROFIEL</dc:title>
  <dc:subject/>
  <dc:creator>EVZ EVZ</dc:creator>
  <cp:keywords/>
  <cp:lastModifiedBy>EVZ EVZ</cp:lastModifiedBy>
  <cp:revision>6</cp:revision>
  <cp:lastPrinted>2018-07-19T09:22:00Z</cp:lastPrinted>
  <dcterms:created xsi:type="dcterms:W3CDTF">2018-10-12T11:46:00Z</dcterms:created>
  <dcterms:modified xsi:type="dcterms:W3CDTF">2019-01-23T15:19:00Z</dcterms:modified>
</cp:coreProperties>
</file>